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jc w:val="center"/>
        <w:rPr>
          <w:rStyle w:val="20"/>
          <w:rFonts w:hint="eastAsia" w:ascii="仿宋" w:hAnsi="仿宋" w:eastAsia="仿宋"/>
          <w:b/>
          <w:color w:val="000000"/>
          <w:sz w:val="32"/>
          <w:szCs w:val="32"/>
          <w:lang w:val="zh-TW" w:eastAsia="zh-CN"/>
        </w:rPr>
      </w:pPr>
      <w:r>
        <w:rPr>
          <w:rStyle w:val="20"/>
          <w:rFonts w:hint="eastAsia" w:ascii="仿宋" w:hAnsi="仿宋" w:eastAsia="仿宋"/>
          <w:b/>
          <w:color w:val="000000"/>
          <w:sz w:val="32"/>
          <w:szCs w:val="32"/>
          <w:lang w:val="zh-TW" w:eastAsia="zh-CN"/>
        </w:rPr>
        <w:t>浦林成山海航万邦办公楼</w:t>
      </w:r>
      <w:r>
        <w:rPr>
          <w:rStyle w:val="20"/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装修招标</w:t>
      </w:r>
      <w:r>
        <w:rPr>
          <w:rStyle w:val="20"/>
          <w:rFonts w:hint="eastAsia" w:ascii="仿宋" w:hAnsi="仿宋" w:eastAsia="仿宋"/>
          <w:b/>
          <w:color w:val="000000"/>
          <w:sz w:val="32"/>
          <w:szCs w:val="32"/>
          <w:lang w:val="zh-TW" w:eastAsia="zh-CN"/>
        </w:rPr>
        <w:t>（招标时间：</w:t>
      </w:r>
      <w:r>
        <w:rPr>
          <w:rStyle w:val="20"/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1月20日</w:t>
      </w:r>
      <w:r>
        <w:rPr>
          <w:rStyle w:val="20"/>
          <w:rFonts w:hint="eastAsia" w:ascii="仿宋" w:hAnsi="仿宋" w:eastAsia="仿宋"/>
          <w:b/>
          <w:color w:val="000000"/>
          <w:sz w:val="32"/>
          <w:szCs w:val="32"/>
          <w:lang w:val="zh-TW" w:eastAsia="zh-CN"/>
        </w:rPr>
        <w:t>）</w:t>
      </w:r>
    </w:p>
    <w:p>
      <w:pPr>
        <w:pStyle w:val="13"/>
        <w:numPr>
          <w:ilvl w:val="0"/>
          <w:numId w:val="1"/>
        </w:numPr>
        <w:adjustRightInd w:val="0"/>
        <w:spacing w:line="400" w:lineRule="exact"/>
        <w:ind w:firstLineChars="0"/>
        <w:jc w:val="left"/>
        <w:rPr>
          <w:rStyle w:val="20"/>
          <w:rFonts w:ascii="仿宋" w:hAnsi="仿宋" w:eastAsia="仿宋"/>
          <w:color w:val="000000"/>
          <w:sz w:val="24"/>
          <w:szCs w:val="24"/>
          <w:lang w:val="zh-TW"/>
        </w:rPr>
      </w:pPr>
      <w:r>
        <w:rPr>
          <w:rStyle w:val="20"/>
          <w:rFonts w:ascii="仿宋" w:hAnsi="仿宋" w:eastAsia="仿宋"/>
          <w:b/>
          <w:color w:val="000000"/>
          <w:sz w:val="24"/>
          <w:szCs w:val="24"/>
          <w:lang w:val="zh-TW"/>
        </w:rPr>
        <w:t>工程</w:t>
      </w:r>
      <w:r>
        <w:rPr>
          <w:rStyle w:val="20"/>
          <w:rFonts w:hint="eastAsia" w:ascii="仿宋" w:hAnsi="仿宋" w:eastAsia="仿宋"/>
          <w:b/>
          <w:color w:val="000000"/>
          <w:sz w:val="24"/>
          <w:szCs w:val="24"/>
          <w:lang w:val="zh-TW"/>
        </w:rPr>
        <w:t>报价</w:t>
      </w:r>
      <w:r>
        <w:rPr>
          <w:rStyle w:val="20"/>
          <w:rFonts w:ascii="仿宋" w:hAnsi="仿宋" w:eastAsia="仿宋"/>
          <w:b/>
          <w:color w:val="000000"/>
          <w:sz w:val="24"/>
          <w:szCs w:val="24"/>
          <w:lang w:val="zh-TW"/>
        </w:rPr>
        <w:t>特别说明</w:t>
      </w:r>
      <w:r>
        <w:rPr>
          <w:rStyle w:val="20"/>
          <w:rFonts w:ascii="仿宋" w:hAnsi="仿宋" w:eastAsia="仿宋"/>
          <w:color w:val="000000"/>
          <w:sz w:val="24"/>
          <w:szCs w:val="24"/>
          <w:lang w:val="zh-TW"/>
        </w:rPr>
        <w:t>：</w:t>
      </w:r>
    </w:p>
    <w:p>
      <w:pPr>
        <w:pStyle w:val="13"/>
        <w:numPr>
          <w:ilvl w:val="0"/>
          <w:numId w:val="2"/>
        </w:numPr>
        <w:adjustRightInd w:val="0"/>
        <w:spacing w:line="400" w:lineRule="exact"/>
        <w:ind w:left="0" w:leftChars="0" w:firstLine="480" w:firstLineChars="200"/>
        <w:jc w:val="left"/>
        <w:rPr>
          <w:rStyle w:val="20"/>
          <w:rFonts w:hint="eastAsia" w:ascii="仿宋" w:hAnsi="仿宋" w:eastAsia="仿宋"/>
          <w:color w:val="000000"/>
          <w:sz w:val="24"/>
          <w:lang w:val="en-US" w:eastAsia="zh-CN"/>
        </w:rPr>
      </w:pPr>
      <w:r>
        <w:rPr>
          <w:rStyle w:val="20"/>
          <w:rFonts w:hint="eastAsia" w:ascii="仿宋" w:hAnsi="仿宋" w:eastAsia="仿宋"/>
          <w:color w:val="000000"/>
          <w:sz w:val="24"/>
          <w:lang w:val="zh-TW" w:eastAsia="zh-CN"/>
        </w:rPr>
        <w:t>发包方浦林成山海航万邦办公楼</w:t>
      </w:r>
      <w:r>
        <w:rPr>
          <w:rStyle w:val="20"/>
          <w:rFonts w:hint="eastAsia" w:ascii="仿宋" w:hAnsi="仿宋" w:eastAsia="仿宋"/>
          <w:color w:val="000000"/>
          <w:sz w:val="24"/>
          <w:lang w:val="en-US" w:eastAsia="zh-CN"/>
        </w:rPr>
        <w:t>装修，总面积392平方米，项目位于青岛市南区海航大厦</w:t>
      </w:r>
      <w:bookmarkStart w:id="3" w:name="_GoBack"/>
      <w:bookmarkEnd w:id="3"/>
      <w:r>
        <w:rPr>
          <w:rStyle w:val="20"/>
          <w:rFonts w:hint="eastAsia" w:ascii="仿宋" w:hAnsi="仿宋" w:eastAsia="仿宋"/>
          <w:color w:val="000000"/>
          <w:sz w:val="24"/>
          <w:lang w:val="en-US" w:eastAsia="zh-CN"/>
        </w:rPr>
        <w:t>。</w:t>
      </w:r>
    </w:p>
    <w:p>
      <w:pPr>
        <w:pStyle w:val="13"/>
        <w:numPr>
          <w:ilvl w:val="0"/>
          <w:numId w:val="2"/>
        </w:numPr>
        <w:adjustRightInd w:val="0"/>
        <w:spacing w:line="400" w:lineRule="exact"/>
        <w:ind w:left="0" w:leftChars="0" w:firstLine="480" w:firstLineChars="200"/>
        <w:jc w:val="left"/>
        <w:rPr>
          <w:rStyle w:val="20"/>
          <w:rFonts w:ascii="仿宋" w:hAnsi="仿宋" w:eastAsia="仿宋"/>
          <w:b/>
          <w:color w:val="000000"/>
          <w:sz w:val="24"/>
          <w:lang w:val="zh-TW" w:eastAsia="zh-TW"/>
        </w:rPr>
      </w:pPr>
      <w:r>
        <w:rPr>
          <w:rStyle w:val="20"/>
          <w:rFonts w:hint="eastAsia" w:ascii="仿宋" w:hAnsi="仿宋" w:eastAsia="仿宋"/>
          <w:color w:val="000000"/>
          <w:sz w:val="24"/>
          <w:lang w:val="zh-TW"/>
        </w:rPr>
        <w:t>天花</w:t>
      </w:r>
      <w:r>
        <w:rPr>
          <w:rStyle w:val="20"/>
          <w:rFonts w:ascii="仿宋" w:hAnsi="仿宋" w:eastAsia="仿宋"/>
          <w:color w:val="000000"/>
          <w:sz w:val="24"/>
          <w:lang w:val="zh-TW"/>
        </w:rPr>
        <w:t>区域</w:t>
      </w:r>
      <w:r>
        <w:rPr>
          <w:rStyle w:val="20"/>
          <w:rFonts w:hint="eastAsia" w:ascii="仿宋" w:hAnsi="仿宋" w:eastAsia="仿宋"/>
          <w:color w:val="000000"/>
          <w:sz w:val="24"/>
          <w:lang w:val="zh-TW"/>
        </w:rPr>
        <w:t>、</w:t>
      </w:r>
      <w:r>
        <w:rPr>
          <w:rStyle w:val="20"/>
          <w:rFonts w:ascii="仿宋" w:hAnsi="仿宋" w:eastAsia="仿宋"/>
          <w:color w:val="000000"/>
          <w:sz w:val="24"/>
          <w:lang w:val="zh-TW"/>
        </w:rPr>
        <w:t>风口、灯具、开关及插座等所需在墙面、吊顶等不同材质饰面上开孔、裁切、做斜撑及修复等相关工作属于本次装修工程范围</w:t>
      </w:r>
      <w:r>
        <w:rPr>
          <w:rStyle w:val="20"/>
          <w:rFonts w:ascii="仿宋" w:hAnsi="仿宋" w:eastAsia="仿宋"/>
          <w:b/>
          <w:color w:val="000000"/>
          <w:sz w:val="24"/>
          <w:lang w:val="zh-TW"/>
        </w:rPr>
        <w:t>。</w:t>
      </w:r>
    </w:p>
    <w:p>
      <w:pPr>
        <w:adjustRightInd w:val="0"/>
        <w:spacing w:line="400" w:lineRule="exact"/>
        <w:ind w:firstLine="480" w:firstLineChars="200"/>
        <w:jc w:val="left"/>
        <w:rPr>
          <w:kern w:val="0"/>
        </w:rPr>
      </w:pP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/>
          <w:color w:val="000000"/>
          <w:kern w:val="0"/>
          <w:sz w:val="24"/>
        </w:rPr>
        <w:t>.施工图纸或设计要求所表示或特别说明的工程项目，若未有在数量清单内显示，投标方可在其他补充报价项内予以补充；清单所报单价将用作变更结算依据。</w:t>
      </w:r>
    </w:p>
    <w:p>
      <w:pPr>
        <w:adjustRightInd w:val="0"/>
        <w:spacing w:line="400" w:lineRule="exact"/>
        <w:ind w:firstLine="480" w:firstLineChars="200"/>
        <w:jc w:val="left"/>
        <w:rPr>
          <w:rFonts w:hint="eastAsia" w:ascii="仿宋" w:hAnsi="仿宋" w:eastAsia="仿宋"/>
          <w:color w:val="000000"/>
          <w:kern w:val="0"/>
          <w:sz w:val="24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/>
          <w:color w:val="000000"/>
          <w:kern w:val="0"/>
          <w:sz w:val="24"/>
        </w:rPr>
        <w:t>.清单内基层做法若未单独列项，均指完成该饰面项目的全部工作所需发生的费用，即便清单描述未说明或详尽说明层层做法；墙面、地面吊顶等不同材质饰面的收边处理不单独量度</w:t>
      </w:r>
      <w:r>
        <w:rPr>
          <w:rFonts w:hint="eastAsia" w:ascii="仿宋" w:hAnsi="仿宋" w:eastAsia="仿宋"/>
          <w:color w:val="000000"/>
          <w:kern w:val="0"/>
          <w:sz w:val="24"/>
          <w:lang w:eastAsia="zh-CN"/>
        </w:rPr>
        <w:t>。</w:t>
      </w:r>
    </w:p>
    <w:p>
      <w:pPr>
        <w:pStyle w:val="13"/>
        <w:spacing w:line="400" w:lineRule="exact"/>
        <w:ind w:left="0" w:leftChars="0" w:right="323" w:rightChars="154" w:firstLine="480" w:firstLineChars="200"/>
        <w:rPr>
          <w:rFonts w:hint="eastAsia" w:ascii="仿宋" w:hAnsi="仿宋" w:eastAsia="仿宋"/>
          <w:sz w:val="24"/>
          <w:szCs w:val="24"/>
          <w:highlight w:val="yellow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5.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eastAsia="zh-CN"/>
        </w:rPr>
        <w:t>现场位于大厦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val="en-US" w:eastAsia="zh-CN"/>
        </w:rPr>
        <w:t>36层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</w:rPr>
        <w:t>承包方进场施工需要充分考虑物料的二次搬运、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highlight w:val="none"/>
          <w:lang w:eastAsia="zh-CN"/>
        </w:rPr>
        <w:t>人工降效及遵守大厦物业相关管理规定，规定详见附件</w:t>
      </w:r>
      <w:r>
        <w:rPr>
          <w:rFonts w:hint="eastAsia" w:ascii="仿宋" w:hAnsi="仿宋" w:eastAsia="仿宋"/>
          <w:sz w:val="24"/>
          <w:szCs w:val="24"/>
          <w:lang w:eastAsia="zh-CN"/>
        </w:rPr>
        <w:t>；报价需考虑</w:t>
      </w:r>
      <w:r>
        <w:rPr>
          <w:rFonts w:hint="eastAsia" w:ascii="仿宋" w:hAnsi="仿宋" w:eastAsia="仿宋"/>
          <w:sz w:val="24"/>
          <w:szCs w:val="24"/>
        </w:rPr>
        <w:t>施工材料排版安装的损耗</w:t>
      </w:r>
      <w:r>
        <w:rPr>
          <w:rFonts w:hint="eastAsia" w:ascii="仿宋" w:hAnsi="仿宋" w:eastAsia="仿宋"/>
          <w:sz w:val="24"/>
          <w:szCs w:val="24"/>
          <w:lang w:eastAsia="zh-CN"/>
        </w:rPr>
        <w:t>等所有费用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13"/>
        <w:spacing w:line="400" w:lineRule="exact"/>
        <w:ind w:left="360" w:right="323" w:rightChars="154" w:firstLine="0" w:firstLineChars="0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6、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>各参标单位投标时需提供主材表中</w:t>
      </w:r>
      <w:r>
        <w:rPr>
          <w:rFonts w:hint="eastAsia" w:ascii="仿宋" w:hAnsi="仿宋" w:eastAsia="仿宋"/>
          <w:b/>
          <w:bCs/>
          <w:sz w:val="24"/>
          <w:szCs w:val="24"/>
          <w:u w:val="single"/>
          <w:lang w:eastAsia="zh-CN"/>
        </w:rPr>
        <w:t>面板、开关插座、踢脚、地毯等样品。现场使用的所有装修材料均需符合国标。</w:t>
      </w:r>
    </w:p>
    <w:p>
      <w:pPr>
        <w:adjustRightInd w:val="0"/>
        <w:spacing w:line="400" w:lineRule="exact"/>
        <w:ind w:firstLine="360" w:firstLineChars="150"/>
        <w:jc w:val="left"/>
        <w:rPr>
          <w:rFonts w:hint="default" w:ascii="仿宋" w:hAnsi="仿宋" w:eastAsia="仿宋"/>
          <w:color w:val="auto"/>
          <w:kern w:val="0"/>
          <w:sz w:val="24"/>
          <w:highlight w:val="yellow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highlight w:val="yellow"/>
          <w:lang w:val="en-US" w:eastAsia="zh-CN"/>
        </w:rPr>
        <w:t>7、各参标单位需提前踏勘现场，因未提前踏勘现场而误解招标清单内容引起的费用，均由参标单位负担！</w:t>
      </w:r>
    </w:p>
    <w:p>
      <w:pPr>
        <w:adjustRightInd w:val="0"/>
        <w:spacing w:line="400" w:lineRule="exact"/>
        <w:ind w:firstLine="360" w:firstLineChars="150"/>
        <w:jc w:val="left"/>
        <w:rPr>
          <w:rFonts w:hint="eastAsia" w:ascii="仿宋" w:hAnsi="仿宋" w:eastAsia="仿宋"/>
          <w:color w:val="000000"/>
          <w:kern w:val="0"/>
          <w:sz w:val="24"/>
          <w:highlight w:val="none"/>
        </w:rPr>
      </w:pPr>
      <w:r>
        <w:rPr>
          <w:rFonts w:hint="eastAsia" w:ascii="仿宋" w:hAnsi="仿宋" w:eastAsia="仿宋"/>
          <w:color w:val="000000"/>
          <w:kern w:val="0"/>
          <w:sz w:val="24"/>
          <w:highlight w:val="none"/>
          <w:lang w:val="en-US" w:eastAsia="zh-CN"/>
        </w:rPr>
        <w:t>8、</w:t>
      </w:r>
      <w:r>
        <w:rPr>
          <w:rFonts w:hint="eastAsia" w:ascii="仿宋" w:hAnsi="仿宋" w:eastAsia="仿宋"/>
          <w:sz w:val="24"/>
          <w:highlight w:val="none"/>
        </w:rPr>
        <w:t>发包方报价承诺函：见附件一</w:t>
      </w:r>
    </w:p>
    <w:p>
      <w:pPr>
        <w:adjustRightInd w:val="0"/>
        <w:spacing w:line="400" w:lineRule="exact"/>
        <w:jc w:val="left"/>
        <w:rPr>
          <w:rFonts w:ascii="仿宋" w:hAnsi="仿宋" w:eastAsia="仿宋"/>
          <w:b/>
          <w:color w:val="000000"/>
          <w:kern w:val="0"/>
          <w:sz w:val="24"/>
        </w:rPr>
      </w:pPr>
      <w:r>
        <w:rPr>
          <w:rFonts w:hint="eastAsia" w:ascii="仿宋" w:hAnsi="仿宋" w:eastAsia="仿宋"/>
          <w:b/>
          <w:color w:val="000000"/>
          <w:kern w:val="0"/>
          <w:sz w:val="24"/>
        </w:rPr>
        <w:t>二、工程范围、现场完成情况：</w:t>
      </w:r>
    </w:p>
    <w:p>
      <w:pPr>
        <w:pStyle w:val="15"/>
        <w:shd w:val="clear" w:color="auto" w:fill="auto"/>
        <w:spacing w:before="0" w:line="450" w:lineRule="exact"/>
        <w:ind w:right="800" w:firstLine="960" w:firstLineChars="400"/>
        <w:jc w:val="both"/>
        <w:rPr>
          <w:rFonts w:ascii="仿宋" w:hAnsi="仿宋" w:eastAsia="仿宋"/>
          <w:spacing w:val="0"/>
          <w:sz w:val="24"/>
          <w:szCs w:val="24"/>
        </w:rPr>
      </w:pPr>
      <w:r>
        <w:rPr>
          <w:rFonts w:hint="eastAsia" w:ascii="仿宋" w:hAnsi="仿宋" w:eastAsia="仿宋"/>
          <w:spacing w:val="0"/>
          <w:sz w:val="24"/>
          <w:szCs w:val="24"/>
        </w:rPr>
        <w:t>包括墙面、天花、木门等装修施工，</w:t>
      </w:r>
      <w:r>
        <w:rPr>
          <w:rFonts w:hint="eastAsia" w:ascii="仿宋" w:hAnsi="仿宋" w:eastAsia="仿宋"/>
          <w:spacing w:val="0"/>
          <w:sz w:val="24"/>
          <w:szCs w:val="24"/>
          <w:lang w:eastAsia="zh-CN"/>
        </w:rPr>
        <w:t>做好与</w:t>
      </w:r>
      <w:r>
        <w:rPr>
          <w:rFonts w:hint="eastAsia" w:ascii="仿宋" w:hAnsi="仿宋" w:eastAsia="仿宋"/>
          <w:spacing w:val="0"/>
          <w:sz w:val="24"/>
          <w:szCs w:val="24"/>
        </w:rPr>
        <w:t>空调、</w:t>
      </w:r>
      <w:r>
        <w:rPr>
          <w:rFonts w:hint="eastAsia" w:ascii="仿宋" w:hAnsi="仿宋" w:eastAsia="仿宋"/>
          <w:spacing w:val="0"/>
          <w:sz w:val="24"/>
          <w:szCs w:val="24"/>
          <w:lang w:eastAsia="zh-CN"/>
        </w:rPr>
        <w:t>办公家具</w:t>
      </w:r>
      <w:r>
        <w:rPr>
          <w:rFonts w:hint="eastAsia" w:ascii="仿宋" w:hAnsi="仿宋" w:eastAsia="仿宋"/>
          <w:spacing w:val="0"/>
          <w:sz w:val="24"/>
          <w:szCs w:val="24"/>
        </w:rPr>
        <w:t xml:space="preserve">等专业的配合。具体做法详见工程量报价清单、施工图。工程量清单与施工图纸矛盾，现场施工以图纸为准（清单中有备注或变更说明的项目除外）。    </w:t>
      </w:r>
    </w:p>
    <w:p>
      <w:pPr>
        <w:spacing w:line="400" w:lineRule="exact"/>
        <w:ind w:left="359" w:leftChars="171" w:right="323" w:rightChars="154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highlight w:val="none"/>
        </w:rPr>
        <w:t>以上需按规范要求对电气系统的管线、开关插座、灯具（指筒灯、射灯等）的供货、安装、调试；</w:t>
      </w:r>
      <w:r>
        <w:rPr>
          <w:rFonts w:hint="eastAsia" w:ascii="仿宋" w:hAnsi="仿宋" w:eastAsia="仿宋"/>
          <w:sz w:val="24"/>
        </w:rPr>
        <w:t>天花吊顶乳胶漆等；包含门类（门洞口套）、安装以及家政卫生清理等工作内容。</w:t>
      </w:r>
    </w:p>
    <w:p>
      <w:pPr>
        <w:spacing w:line="400" w:lineRule="exact"/>
        <w:ind w:left="359" w:leftChars="171" w:right="323" w:rightChars="154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空调、</w:t>
      </w:r>
      <w:r>
        <w:rPr>
          <w:rFonts w:hint="eastAsia" w:ascii="仿宋" w:hAnsi="仿宋" w:eastAsia="仿宋"/>
          <w:sz w:val="24"/>
          <w:lang w:eastAsia="zh-CN"/>
        </w:rPr>
        <w:t>电梯、智能化、消防</w:t>
      </w:r>
      <w:r>
        <w:rPr>
          <w:rFonts w:hint="eastAsia" w:ascii="仿宋" w:hAnsi="仿宋" w:eastAsia="仿宋"/>
          <w:sz w:val="24"/>
        </w:rPr>
        <w:t>等均不包含在内（清单内列项且单独注明的除外）。</w:t>
      </w:r>
    </w:p>
    <w:p>
      <w:pPr>
        <w:pStyle w:val="13"/>
        <w:spacing w:line="400" w:lineRule="exact"/>
        <w:ind w:right="323" w:rightChars="154" w:firstLine="48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 xml:space="preserve"> 开关、插座：根据装修图纸，按合同清单约定品牌。</w:t>
      </w:r>
    </w:p>
    <w:p>
      <w:pPr>
        <w:pStyle w:val="13"/>
        <w:spacing w:line="400" w:lineRule="exact"/>
        <w:ind w:right="323" w:rightChars="154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灯具：除装修图纸设计注明的特殊灯具外，对于射灯、筒灯、吸顶灯等全部由承包方负责。对于全部射灯、筒灯、灯带类的布线、射灯、筒灯、等采购、安装完全由承包方负责。</w:t>
      </w:r>
    </w:p>
    <w:p>
      <w:pPr>
        <w:pStyle w:val="13"/>
        <w:spacing w:line="400" w:lineRule="exact"/>
        <w:ind w:left="359" w:leftChars="171" w:right="323" w:rightChars="154" w:firstLine="1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B、主材要求及清单报价中不包含的工作内容：</w:t>
      </w:r>
    </w:p>
    <w:p>
      <w:pPr>
        <w:pStyle w:val="13"/>
        <w:numPr>
          <w:ilvl w:val="0"/>
          <w:numId w:val="3"/>
        </w:numPr>
        <w:spacing w:line="400" w:lineRule="exact"/>
        <w:ind w:left="359" w:leftChars="171" w:right="323" w:rightChars="154" w:firstLine="1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现场装修使用主材全部按发包方确认的封存样品验收，品牌、材质要求见附件 。现场施工使用主材未按样品施工，承包方须无条件更换。</w:t>
      </w:r>
    </w:p>
    <w:p>
      <w:pPr>
        <w:pStyle w:val="13"/>
        <w:numPr>
          <w:ilvl w:val="0"/>
          <w:numId w:val="3"/>
        </w:numPr>
        <w:spacing w:line="400" w:lineRule="exact"/>
        <w:ind w:left="359" w:leftChars="171" w:right="323" w:rightChars="154" w:firstLine="1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现场除与装修密切相关的柜类（工程量清单包括）由发包方负责，对饰品软装类等均由发包方负责。</w:t>
      </w:r>
    </w:p>
    <w:p>
      <w:pPr>
        <w:pStyle w:val="13"/>
        <w:numPr>
          <w:ilvl w:val="0"/>
          <w:numId w:val="3"/>
        </w:numPr>
        <w:spacing w:line="400" w:lineRule="exact"/>
        <w:ind w:left="359" w:leftChars="171" w:right="323" w:rightChars="154" w:firstLine="1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项目调整: 对装修清单包含的工作内容在实际施工时，发包方有权做好品质的的定位调整，根据某些单项报价，调整部分功能间的装修做法。从而控制项目总投资。</w:t>
      </w:r>
    </w:p>
    <w:p>
      <w:pPr>
        <w:spacing w:line="360" w:lineRule="exact"/>
        <w:ind w:left="470" w:hanging="470" w:hangingChars="19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kern w:val="0"/>
          <w:sz w:val="24"/>
        </w:rPr>
        <w:t xml:space="preserve">三  </w:t>
      </w:r>
      <w:bookmarkStart w:id="0" w:name="_Toc193429143"/>
      <w:bookmarkStart w:id="1" w:name="_Toc192515585"/>
      <w:bookmarkStart w:id="2" w:name="_Toc193354892"/>
      <w:r>
        <w:rPr>
          <w:rFonts w:hint="eastAsia" w:ascii="仿宋" w:hAnsi="仿宋" w:eastAsia="仿宋"/>
          <w:kern w:val="0"/>
          <w:sz w:val="24"/>
        </w:rPr>
        <w:t>适用法律、标准及规范：</w:t>
      </w:r>
    </w:p>
    <w:bookmarkEnd w:id="0"/>
    <w:bookmarkEnd w:id="1"/>
    <w:bookmarkEnd w:id="2"/>
    <w:p>
      <w:pPr>
        <w:spacing w:line="360" w:lineRule="exact"/>
        <w:ind w:left="315" w:leftChars="150" w:firstLine="120" w:firstLineChars="50"/>
        <w:rPr>
          <w:rFonts w:hint="default" w:ascii="仿宋" w:hAnsi="仿宋" w:eastAsia="仿宋"/>
          <w:kern w:val="0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国家有关法律、法规；《建筑装饰装修工程质量验收规范》（GB50210-2001）及国家和行业现行的其它施工质量评定标准及施工验收规范，装修室内环境污染控制方面按照《民用建筑工程室内环境污染控制规范》（GB50325-2001）的标准执行，国家建筑防腐蚀工程施工及验收规范GB50212-91。</w:t>
      </w:r>
    </w:p>
    <w:p>
      <w:pPr>
        <w:spacing w:line="400" w:lineRule="exact"/>
        <w:ind w:left="588" w:hanging="588" w:hangingChars="245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四、工程验收：</w:t>
      </w:r>
    </w:p>
    <w:p>
      <w:pPr>
        <w:spacing w:line="400" w:lineRule="exact"/>
        <w:ind w:left="353" w:leftChars="168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kern w:val="0"/>
          <w:sz w:val="24"/>
        </w:rPr>
        <w:t>工程完工后，发包方将组织相关部门及人员</w:t>
      </w:r>
      <w:r>
        <w:rPr>
          <w:rFonts w:hint="eastAsia" w:ascii="仿宋" w:hAnsi="仿宋" w:eastAsia="仿宋"/>
          <w:sz w:val="24"/>
        </w:rPr>
        <w:t>共同</w:t>
      </w:r>
      <w:r>
        <w:rPr>
          <w:rFonts w:hint="eastAsia" w:ascii="仿宋" w:hAnsi="仿宋" w:eastAsia="仿宋"/>
          <w:kern w:val="0"/>
          <w:sz w:val="24"/>
        </w:rPr>
        <w:t>对该工程进行验收，整体质量必须符合设计要求和国家合格标准。每单项工程完工后，需经发包方验收合格后，方可进行下道工序的施工。</w:t>
      </w:r>
    </w:p>
    <w:p>
      <w:pPr>
        <w:adjustRightInd w:val="0"/>
        <w:spacing w:line="400" w:lineRule="exact"/>
        <w:jc w:val="left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kern w:val="0"/>
          <w:sz w:val="24"/>
        </w:rPr>
        <w:t>五、</w:t>
      </w:r>
      <w:r>
        <w:rPr>
          <w:rFonts w:hint="eastAsia" w:ascii="仿宋" w:hAnsi="仿宋" w:eastAsia="仿宋"/>
          <w:sz w:val="24"/>
        </w:rPr>
        <w:t>发包及结算方式</w:t>
      </w:r>
    </w:p>
    <w:p>
      <w:pPr>
        <w:spacing w:line="400" w:lineRule="exact"/>
        <w:ind w:firstLine="360" w:firstLine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大包，包括材料、人工、利润以及措施费、架子费等一切费用。因发包方要求的变更，经双方确认按签证调增减。</w:t>
      </w:r>
    </w:p>
    <w:p>
      <w:pPr>
        <w:adjustRightInd w:val="0"/>
        <w:spacing w:line="400" w:lineRule="exact"/>
        <w:jc w:val="left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六、付款方式</w:t>
      </w:r>
    </w:p>
    <w:p>
      <w:pPr>
        <w:pStyle w:val="13"/>
        <w:spacing w:line="400" w:lineRule="exact"/>
        <w:ind w:left="142" w:right="323" w:rightChars="154" w:firstLine="0" w:firstLineChars="0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/>
          <w:kern w:val="0"/>
          <w:sz w:val="24"/>
          <w:szCs w:val="24"/>
        </w:rPr>
        <w:t>1、</w:t>
      </w:r>
      <w:r>
        <w:rPr>
          <w:rFonts w:hint="eastAsia" w:ascii="仿宋" w:hAnsi="仿宋" w:eastAsia="仿宋"/>
          <w:kern w:val="0"/>
          <w:sz w:val="24"/>
        </w:rPr>
        <w:t>付款方式：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合同签定后15日内，发包方给付合同总额20%的预付款，现场形象进度达到85%,再支付30%的进度款.工程完工具备验收条件付合同总额25%的进度款。工程竣工验收合格结算定案后，且承包方开具全额增值税专用发票入账后30日内发包方付至工程结算总价款的95%，剩余结算总额的5%作为质量保证金，待两年后工程无明显质量问题45日内一次性付清。</w:t>
      </w:r>
    </w:p>
    <w:p>
      <w:pPr>
        <w:adjustRightInd w:val="0"/>
        <w:spacing w:line="400" w:lineRule="exact"/>
        <w:ind w:left="470" w:hanging="470" w:hangingChars="196"/>
        <w:jc w:val="left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七、材料要求：要求为正规厂家生产的合格材料，且为有害气体释放量达标的环保材料，要求按照发包方认可的封样样品、双方确定的材料明细表中的品牌及不低于要求价位采购。</w:t>
      </w:r>
      <w:r>
        <w:rPr>
          <w:rFonts w:hint="eastAsia" w:ascii="仿宋" w:hAnsi="仿宋" w:eastAsia="仿宋"/>
          <w:sz w:val="24"/>
          <w:lang w:eastAsia="zh-CN"/>
        </w:rPr>
        <w:t>材料环保等级需达到</w:t>
      </w:r>
      <w:r>
        <w:rPr>
          <w:rFonts w:hint="eastAsia" w:ascii="仿宋" w:hAnsi="仿宋" w:eastAsia="仿宋"/>
          <w:sz w:val="24"/>
          <w:lang w:val="en-US" w:eastAsia="zh-CN"/>
        </w:rPr>
        <w:t>E0级以上标准</w:t>
      </w:r>
    </w:p>
    <w:p>
      <w:pPr>
        <w:adjustRightInd w:val="0"/>
        <w:spacing w:line="400" w:lineRule="exact"/>
        <w:ind w:left="470" w:hanging="470" w:hangingChars="196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sz w:val="24"/>
        </w:rPr>
        <w:t>八、</w:t>
      </w:r>
      <w:r>
        <w:rPr>
          <w:rFonts w:hint="eastAsia" w:ascii="仿宋" w:hAnsi="仿宋" w:eastAsia="仿宋"/>
          <w:kern w:val="0"/>
          <w:sz w:val="24"/>
        </w:rPr>
        <w:t>保修：</w:t>
      </w:r>
      <w:r>
        <w:rPr>
          <w:rFonts w:hint="eastAsia" w:ascii="仿宋" w:hAnsi="仿宋" w:eastAsia="仿宋"/>
          <w:sz w:val="24"/>
        </w:rPr>
        <w:t>工程保修期二年。</w:t>
      </w:r>
      <w:r>
        <w:rPr>
          <w:rFonts w:hint="eastAsia" w:ascii="仿宋" w:hAnsi="仿宋" w:eastAsia="仿宋"/>
          <w:bCs/>
          <w:sz w:val="24"/>
        </w:rPr>
        <w:t>若保修期内出现质量问题，属于发包方原因的承包方自接到通知之日起3日内，无偿进厂维修，保修期满后若出现质量问题，发包方提供材料承包方维修（收取成本费）。</w:t>
      </w:r>
    </w:p>
    <w:p>
      <w:pPr>
        <w:adjustRightInd w:val="0"/>
        <w:spacing w:line="400" w:lineRule="exact"/>
        <w:ind w:left="470" w:hanging="470" w:hangingChars="196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九</w:t>
      </w:r>
      <w:r>
        <w:rPr>
          <w:rFonts w:hint="eastAsia" w:ascii="仿宋" w:hAnsi="仿宋" w:eastAsia="仿宋"/>
          <w:bCs/>
          <w:sz w:val="24"/>
          <w:lang w:eastAsia="zh-CN"/>
        </w:rPr>
        <w:t>、</w:t>
      </w:r>
      <w:r>
        <w:rPr>
          <w:rFonts w:hint="eastAsia" w:ascii="仿宋" w:hAnsi="仿宋" w:eastAsia="仿宋"/>
          <w:bCs/>
          <w:sz w:val="24"/>
        </w:rPr>
        <w:t>材质要求：详见附件</w:t>
      </w:r>
      <w:r>
        <w:rPr>
          <w:rFonts w:hint="eastAsia" w:ascii="仿宋" w:hAnsi="仿宋" w:eastAsia="仿宋"/>
          <w:bCs/>
          <w:sz w:val="24"/>
          <w:lang w:eastAsia="zh-CN"/>
        </w:rPr>
        <w:t>二</w:t>
      </w:r>
      <w:r>
        <w:rPr>
          <w:rFonts w:hint="eastAsia" w:ascii="仿宋" w:hAnsi="仿宋" w:eastAsia="仿宋"/>
          <w:bCs/>
          <w:sz w:val="24"/>
        </w:rPr>
        <w:t>：</w:t>
      </w:r>
    </w:p>
    <w:p>
      <w:pPr>
        <w:adjustRightInd w:val="0"/>
        <w:spacing w:line="400" w:lineRule="exact"/>
        <w:ind w:left="470" w:hanging="470" w:hangingChars="196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  <w:lang w:eastAsia="zh-CN"/>
        </w:rPr>
        <w:t>十．</w:t>
      </w:r>
      <w:r>
        <w:rPr>
          <w:rFonts w:hint="eastAsia" w:ascii="仿宋" w:hAnsi="仿宋" w:eastAsia="仿宋"/>
          <w:bCs/>
          <w:sz w:val="24"/>
          <w:highlight w:val="yellow"/>
          <w:lang w:eastAsia="zh-CN"/>
        </w:rPr>
        <w:t>工期：</w:t>
      </w:r>
      <w:r>
        <w:rPr>
          <w:rFonts w:hint="eastAsia" w:ascii="仿宋" w:hAnsi="仿宋" w:eastAsia="仿宋"/>
          <w:bCs/>
          <w:sz w:val="24"/>
          <w:highlight w:val="yellow"/>
          <w:lang w:val="en-US" w:eastAsia="zh-CN"/>
        </w:rPr>
        <w:t>2024年2月24日-2024年3月31日，工期为35天</w:t>
      </w:r>
      <w:r>
        <w:rPr>
          <w:rFonts w:hint="eastAsia" w:ascii="仿宋" w:hAnsi="仿宋" w:eastAsia="仿宋"/>
          <w:bCs/>
          <w:sz w:val="24"/>
          <w:lang w:val="en-US" w:eastAsia="zh-CN"/>
        </w:rPr>
        <w:t>。</w:t>
      </w:r>
    </w:p>
    <w:p>
      <w:pPr>
        <w:adjustRightInd w:val="0"/>
        <w:spacing w:line="400" w:lineRule="exact"/>
        <w:ind w:left="470" w:hanging="470" w:hangingChars="196"/>
        <w:jc w:val="left"/>
        <w:rPr>
          <w:rFonts w:ascii="仿宋" w:hAnsi="仿宋" w:eastAsia="仿宋"/>
          <w:bCs/>
          <w:sz w:val="24"/>
        </w:rPr>
      </w:pPr>
    </w:p>
    <w:p>
      <w:pPr>
        <w:adjustRightInd w:val="0"/>
        <w:spacing w:line="400" w:lineRule="exact"/>
        <w:ind w:left="470" w:hanging="470" w:hangingChars="196"/>
        <w:jc w:val="left"/>
        <w:rPr>
          <w:rFonts w:ascii="仿宋" w:hAnsi="仿宋" w:eastAsia="仿宋"/>
          <w:bCs/>
          <w:sz w:val="24"/>
        </w:rPr>
      </w:pPr>
    </w:p>
    <w:p>
      <w:pPr>
        <w:adjustRightInd w:val="0"/>
        <w:spacing w:line="400" w:lineRule="exact"/>
        <w:ind w:left="470" w:hanging="470" w:hangingChars="196"/>
        <w:jc w:val="left"/>
        <w:rPr>
          <w:rFonts w:ascii="仿宋" w:hAnsi="仿宋" w:eastAsia="仿宋"/>
          <w:bCs/>
          <w:sz w:val="24"/>
        </w:rPr>
      </w:pPr>
    </w:p>
    <w:p>
      <w:pPr>
        <w:pStyle w:val="15"/>
        <w:shd w:val="clear" w:color="auto" w:fill="auto"/>
        <w:spacing w:before="0" w:line="450" w:lineRule="exact"/>
        <w:ind w:right="800" w:firstLine="0"/>
        <w:jc w:val="both"/>
        <w:rPr>
          <w:rFonts w:hint="eastAsia" w:ascii="仿宋" w:hAnsi="仿宋" w:eastAsia="仿宋"/>
          <w:spacing w:val="0"/>
          <w:sz w:val="30"/>
          <w:szCs w:val="30"/>
        </w:rPr>
      </w:pPr>
    </w:p>
    <w:p>
      <w:pPr>
        <w:pStyle w:val="15"/>
        <w:shd w:val="clear" w:color="auto" w:fill="auto"/>
        <w:spacing w:before="0" w:line="450" w:lineRule="exact"/>
        <w:ind w:right="800" w:firstLine="0"/>
        <w:jc w:val="both"/>
        <w:rPr>
          <w:rFonts w:hint="eastAsia" w:ascii="仿宋" w:hAnsi="仿宋" w:eastAsia="仿宋"/>
          <w:spacing w:val="0"/>
          <w:sz w:val="30"/>
          <w:szCs w:val="30"/>
        </w:rPr>
      </w:pPr>
    </w:p>
    <w:p>
      <w:pPr>
        <w:pStyle w:val="15"/>
        <w:shd w:val="clear" w:color="auto" w:fill="auto"/>
        <w:spacing w:before="0" w:line="450" w:lineRule="exact"/>
        <w:ind w:right="800" w:firstLine="0"/>
        <w:jc w:val="both"/>
        <w:rPr>
          <w:rFonts w:hint="eastAsia" w:ascii="仿宋" w:hAnsi="仿宋" w:eastAsia="仿宋"/>
          <w:spacing w:val="0"/>
          <w:sz w:val="30"/>
          <w:szCs w:val="30"/>
        </w:rPr>
      </w:pPr>
    </w:p>
    <w:p>
      <w:pPr>
        <w:pStyle w:val="15"/>
        <w:shd w:val="clear" w:color="auto" w:fill="auto"/>
        <w:spacing w:before="0" w:line="450" w:lineRule="exact"/>
        <w:ind w:right="800" w:firstLine="0"/>
        <w:jc w:val="both"/>
        <w:rPr>
          <w:rFonts w:hint="eastAsia" w:ascii="仿宋" w:hAnsi="仿宋" w:eastAsia="仿宋"/>
          <w:spacing w:val="0"/>
          <w:sz w:val="30"/>
          <w:szCs w:val="30"/>
        </w:rPr>
      </w:pPr>
    </w:p>
    <w:p>
      <w:pPr>
        <w:pStyle w:val="15"/>
        <w:shd w:val="clear" w:color="auto" w:fill="auto"/>
        <w:spacing w:before="0" w:line="450" w:lineRule="exact"/>
        <w:ind w:right="800" w:firstLine="0"/>
        <w:jc w:val="both"/>
        <w:rPr>
          <w:rFonts w:hint="eastAsia" w:ascii="仿宋" w:hAnsi="仿宋" w:eastAsia="仿宋"/>
          <w:spacing w:val="0"/>
          <w:sz w:val="30"/>
          <w:szCs w:val="30"/>
        </w:rPr>
      </w:pPr>
    </w:p>
    <w:p>
      <w:pPr>
        <w:pStyle w:val="15"/>
        <w:shd w:val="clear" w:color="auto" w:fill="auto"/>
        <w:spacing w:before="0" w:line="450" w:lineRule="exact"/>
        <w:ind w:right="800" w:firstLine="0"/>
        <w:jc w:val="both"/>
        <w:rPr>
          <w:rFonts w:ascii="仿宋" w:hAnsi="仿宋" w:eastAsia="仿宋"/>
          <w:spacing w:val="0"/>
          <w:sz w:val="30"/>
          <w:szCs w:val="30"/>
        </w:rPr>
      </w:pPr>
      <w:r>
        <w:rPr>
          <w:rFonts w:hint="eastAsia" w:ascii="仿宋" w:hAnsi="仿宋" w:eastAsia="仿宋"/>
          <w:spacing w:val="0"/>
          <w:sz w:val="30"/>
          <w:szCs w:val="30"/>
        </w:rPr>
        <w:t>附件一：承包方报价承诺函</w:t>
      </w:r>
    </w:p>
    <w:p>
      <w:pPr>
        <w:pStyle w:val="15"/>
        <w:shd w:val="clear" w:color="auto" w:fill="auto"/>
        <w:spacing w:before="0" w:line="450" w:lineRule="exact"/>
        <w:ind w:left="800" w:right="800" w:firstLine="0"/>
        <w:jc w:val="both"/>
        <w:rPr>
          <w:rFonts w:ascii="仿宋" w:hAnsi="仿宋" w:eastAsia="仿宋"/>
          <w:strike w:val="0"/>
          <w:color w:val="000000"/>
          <w:spacing w:val="0"/>
          <w:shd w:val="clear" w:color="auto" w:fill="FFFFFF"/>
          <w:lang w:val="zh-TW"/>
        </w:rPr>
      </w:pPr>
      <w:r>
        <w:rPr>
          <w:rStyle w:val="20"/>
          <w:rFonts w:hint="eastAsia" w:ascii="仿宋" w:hAnsi="仿宋" w:eastAsia="仿宋"/>
          <w:strike w:val="0"/>
          <w:dstrike w:val="0"/>
          <w:color w:val="000000"/>
          <w:lang w:val="zh-TW"/>
        </w:rPr>
        <w:t>装修</w:t>
      </w:r>
      <w:r>
        <w:rPr>
          <w:rStyle w:val="20"/>
          <w:rFonts w:hint="eastAsia" w:ascii="仿宋" w:hAnsi="仿宋" w:eastAsia="仿宋"/>
          <w:strike w:val="0"/>
          <w:dstrike w:val="0"/>
          <w:color w:val="000000"/>
          <w:lang w:val="zh-TW" w:eastAsia="zh-TW"/>
        </w:rPr>
        <w:t>材料的运输损耗、排版损耗</w:t>
      </w:r>
      <w:r>
        <w:rPr>
          <w:rStyle w:val="20"/>
          <w:rFonts w:hint="eastAsia" w:ascii="仿宋" w:hAnsi="仿宋" w:eastAsia="仿宋"/>
          <w:strike w:val="0"/>
          <w:dstrike w:val="0"/>
          <w:color w:val="000000"/>
          <w:lang w:val="zh-TW"/>
        </w:rPr>
        <w:t>、</w:t>
      </w:r>
      <w:r>
        <w:rPr>
          <w:rStyle w:val="20"/>
          <w:rFonts w:hint="eastAsia" w:ascii="仿宋" w:hAnsi="仿宋" w:eastAsia="仿宋"/>
          <w:strike w:val="0"/>
          <w:dstrike w:val="0"/>
          <w:color w:val="000000"/>
          <w:lang w:val="zh-TW" w:eastAsia="zh-TW"/>
        </w:rPr>
        <w:t>安装损耗等所有损耗均由投标人承担，相关费用必须包含到投标报价中。</w:t>
      </w:r>
    </w:p>
    <w:p>
      <w:pPr>
        <w:pStyle w:val="15"/>
        <w:shd w:val="clear" w:color="auto" w:fill="auto"/>
        <w:spacing w:before="0" w:line="450" w:lineRule="exact"/>
        <w:ind w:left="720" w:right="320" w:firstLine="0"/>
        <w:jc w:val="both"/>
        <w:rPr>
          <w:rFonts w:ascii="仿宋" w:hAnsi="仿宋" w:eastAsia="仿宋"/>
          <w:sz w:val="24"/>
          <w:szCs w:val="24"/>
        </w:rPr>
      </w:pP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/>
        </w:rPr>
        <w:t>承包方所报</w:t>
      </w: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 w:eastAsia="zh-TW"/>
        </w:rPr>
        <w:t>价格己充分考虑所有因素和理解询价文件的一切要求，商务报价价格为固定总价，即在报价有效期和合同有效期内，合同内工作范围的所有工作子目单价包死</w:t>
      </w:r>
      <w:r>
        <w:rPr>
          <w:rStyle w:val="20"/>
          <w:rFonts w:hint="eastAsia" w:ascii="仿宋" w:hAnsi="仿宋" w:eastAsia="仿宋"/>
          <w:color w:val="000000"/>
          <w:sz w:val="24"/>
          <w:szCs w:val="24"/>
        </w:rPr>
        <w:t>，</w:t>
      </w: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/>
        </w:rPr>
        <w:t>非发包方要求的变更</w:t>
      </w: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 w:eastAsia="zh-TW"/>
        </w:rPr>
        <w:t>，单价不得调整。招标人不接受任何基于投标单位对单价的组价不当</w:t>
      </w:r>
      <w:r>
        <w:rPr>
          <w:rStyle w:val="20"/>
          <w:rFonts w:ascii="仿宋" w:hAnsi="仿宋" w:eastAsia="仿宋"/>
          <w:color w:val="000000"/>
          <w:sz w:val="24"/>
          <w:szCs w:val="24"/>
          <w:lang w:val="zh-TW" w:eastAsia="zh-TW"/>
        </w:rPr>
        <w:t xml:space="preserve"> </w:t>
      </w:r>
      <w:r>
        <w:rPr>
          <w:rStyle w:val="24"/>
          <w:rFonts w:ascii="仿宋" w:hAnsi="仿宋" w:eastAsia="仿宋"/>
          <w:color w:val="000000"/>
          <w:sz w:val="24"/>
          <w:szCs w:val="24"/>
          <w:lang w:val="zh-TW" w:eastAsia="zh-TW"/>
        </w:rPr>
        <w:t>(</w:t>
      </w: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 w:eastAsia="zh-TW"/>
        </w:rPr>
        <w:t>包括但不限于工作内容理解的偏差、工料耗量水平的确定、生产要素</w:t>
      </w:r>
      <w:r>
        <w:rPr>
          <w:rStyle w:val="20"/>
          <w:rFonts w:ascii="仿宋" w:hAnsi="仿宋" w:eastAsia="仿宋"/>
          <w:color w:val="000000"/>
          <w:sz w:val="24"/>
          <w:szCs w:val="24"/>
          <w:lang w:val="zh-TW" w:eastAsia="zh-TW"/>
        </w:rPr>
        <w:t xml:space="preserve"> </w:t>
      </w: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 w:eastAsia="zh-TW"/>
        </w:rPr>
        <w:t>市场价格的判断、取费等</w:t>
      </w:r>
      <w:r>
        <w:rPr>
          <w:rStyle w:val="20"/>
          <w:rFonts w:hint="eastAsia" w:ascii="仿宋" w:hAnsi="仿宋" w:eastAsia="仿宋"/>
          <w:color w:val="000000"/>
          <w:sz w:val="24"/>
          <w:szCs w:val="24"/>
        </w:rPr>
        <w:t>）</w:t>
      </w: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 w:eastAsia="zh-TW"/>
        </w:rPr>
        <w:t>或任何差错而引起的任何索赔；招标工作范</w:t>
      </w:r>
      <w:r>
        <w:rPr>
          <w:rStyle w:val="20"/>
          <w:rFonts w:ascii="仿宋" w:hAnsi="仿宋" w:eastAsia="仿宋"/>
          <w:color w:val="000000"/>
          <w:sz w:val="24"/>
          <w:szCs w:val="24"/>
          <w:lang w:val="zh-TW" w:eastAsia="zh-TW"/>
        </w:rPr>
        <w:t xml:space="preserve"> </w:t>
      </w: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 w:eastAsia="zh-TW"/>
        </w:rPr>
        <w:t>围内各子目的工程量包死</w:t>
      </w:r>
      <w:r>
        <w:rPr>
          <w:rStyle w:val="20"/>
          <w:rFonts w:hint="eastAsia" w:ascii="仿宋" w:hAnsi="仿宋" w:eastAsia="仿宋"/>
          <w:color w:val="000000"/>
          <w:sz w:val="24"/>
          <w:szCs w:val="24"/>
        </w:rPr>
        <w:t>，</w:t>
      </w: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 w:eastAsia="zh-TW"/>
        </w:rPr>
        <w:t>招标人不接受任何基于投标人对投标时工程</w:t>
      </w:r>
      <w:r>
        <w:rPr>
          <w:rStyle w:val="20"/>
          <w:rFonts w:ascii="仿宋" w:hAnsi="仿宋" w:eastAsia="仿宋"/>
          <w:color w:val="000000"/>
          <w:sz w:val="24"/>
          <w:szCs w:val="24"/>
          <w:lang w:val="zh-TW" w:eastAsia="zh-TW"/>
        </w:rPr>
        <w:t xml:space="preserve"> </w:t>
      </w: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 w:eastAsia="zh-TW"/>
        </w:rPr>
        <w:t>量计算或复核存在差错的任何索赔；中标人进行施工图设计时，不论中</w:t>
      </w:r>
      <w:r>
        <w:rPr>
          <w:rStyle w:val="20"/>
          <w:rFonts w:ascii="仿宋" w:hAnsi="仿宋" w:eastAsia="仿宋"/>
          <w:color w:val="000000"/>
          <w:sz w:val="24"/>
          <w:szCs w:val="24"/>
          <w:lang w:val="zh-TW" w:eastAsia="zh-TW"/>
        </w:rPr>
        <w:t xml:space="preserve"> </w:t>
      </w: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 w:eastAsia="zh-TW"/>
        </w:rPr>
        <w:t>标人深化后的安装方式、节点处理、生产工艺等出现何种难易变化，或</w:t>
      </w:r>
      <w:r>
        <w:rPr>
          <w:rStyle w:val="20"/>
          <w:rFonts w:ascii="仿宋" w:hAnsi="仿宋" w:eastAsia="仿宋"/>
          <w:color w:val="000000"/>
          <w:sz w:val="24"/>
          <w:szCs w:val="24"/>
          <w:lang w:val="zh-TW" w:eastAsia="zh-TW"/>
        </w:rPr>
        <w:t xml:space="preserve"> </w:t>
      </w: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 w:eastAsia="zh-TW"/>
        </w:rPr>
        <w:t>因中标人深化设计而引起工程数量的增加或单价的提高</w:t>
      </w:r>
      <w:r>
        <w:rPr>
          <w:rStyle w:val="20"/>
          <w:rFonts w:hint="eastAsia" w:ascii="仿宋" w:hAnsi="仿宋" w:eastAsia="仿宋"/>
          <w:color w:val="000000"/>
          <w:sz w:val="24"/>
          <w:szCs w:val="24"/>
        </w:rPr>
        <w:t>，</w:t>
      </w: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 w:eastAsia="zh-TW"/>
        </w:rPr>
        <w:t>均不能视为引</w:t>
      </w:r>
      <w:r>
        <w:rPr>
          <w:rStyle w:val="20"/>
          <w:rFonts w:ascii="仿宋" w:hAnsi="仿宋" w:eastAsia="仿宋"/>
          <w:color w:val="000000"/>
          <w:sz w:val="24"/>
          <w:szCs w:val="24"/>
          <w:lang w:val="zh-TW" w:eastAsia="zh-TW"/>
        </w:rPr>
        <w:t xml:space="preserve"> </w:t>
      </w: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 w:eastAsia="zh-TW"/>
        </w:rPr>
        <w:t>起经济变更的依据，此部分费用己经包含在合同总价内，招标人将不会</w:t>
      </w:r>
      <w:r>
        <w:rPr>
          <w:rStyle w:val="20"/>
          <w:rFonts w:ascii="仿宋" w:hAnsi="仿宋" w:eastAsia="仿宋"/>
          <w:color w:val="000000"/>
          <w:sz w:val="24"/>
          <w:szCs w:val="24"/>
          <w:lang w:val="zh-TW" w:eastAsia="zh-TW"/>
        </w:rPr>
        <w:t xml:space="preserve"> </w:t>
      </w: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 w:eastAsia="zh-TW"/>
        </w:rPr>
        <w:t>对工程量和综合单价进行任何调整。</w:t>
      </w:r>
    </w:p>
    <w:p>
      <w:pPr>
        <w:ind w:firstLine="720" w:firstLineChars="300"/>
        <w:rPr>
          <w:rStyle w:val="20"/>
          <w:rFonts w:ascii="仿宋" w:hAnsi="仿宋" w:eastAsia="仿宋"/>
          <w:color w:val="000000"/>
          <w:sz w:val="24"/>
          <w:szCs w:val="24"/>
          <w:lang w:val="zh-TW"/>
        </w:rPr>
      </w:pP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 w:eastAsia="zh-TW"/>
        </w:rPr>
        <w:t>若投标人中标</w:t>
      </w:r>
      <w:r>
        <w:rPr>
          <w:rStyle w:val="20"/>
          <w:rFonts w:hint="eastAsia" w:ascii="仿宋" w:hAnsi="仿宋" w:eastAsia="仿宋"/>
          <w:color w:val="000000"/>
          <w:sz w:val="24"/>
          <w:szCs w:val="24"/>
        </w:rPr>
        <w:t>，</w:t>
      </w: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 w:eastAsia="zh-TW"/>
        </w:rPr>
        <w:t>本承诺函将成为合同不可分割的一部分，与合同具有同</w:t>
      </w:r>
      <w:r>
        <w:rPr>
          <w:rStyle w:val="20"/>
          <w:rFonts w:ascii="仿宋" w:hAnsi="仿宋" w:eastAsia="仿宋"/>
          <w:color w:val="000000"/>
          <w:sz w:val="24"/>
          <w:szCs w:val="24"/>
          <w:lang w:val="zh-TW" w:eastAsia="zh-TW"/>
        </w:rPr>
        <w:t xml:space="preserve"> </w:t>
      </w: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 w:eastAsia="zh-TW"/>
        </w:rPr>
        <w:t>等的法律效力。</w:t>
      </w:r>
    </w:p>
    <w:p>
      <w:pPr>
        <w:rPr>
          <w:rStyle w:val="20"/>
          <w:rFonts w:ascii="仿宋" w:hAnsi="仿宋" w:eastAsia="仿宋"/>
          <w:color w:val="000000"/>
          <w:sz w:val="24"/>
          <w:szCs w:val="24"/>
          <w:lang w:val="zh-TW"/>
        </w:rPr>
      </w:pPr>
    </w:p>
    <w:p>
      <w:pPr>
        <w:rPr>
          <w:rStyle w:val="20"/>
          <w:rFonts w:ascii="仿宋" w:hAnsi="仿宋" w:eastAsia="仿宋"/>
          <w:color w:val="000000"/>
          <w:sz w:val="24"/>
          <w:szCs w:val="24"/>
          <w:lang w:val="zh-TW" w:eastAsia="zh-TW"/>
        </w:rPr>
      </w:pPr>
    </w:p>
    <w:p>
      <w:pPr>
        <w:rPr>
          <w:rStyle w:val="20"/>
          <w:rFonts w:ascii="仿宋" w:hAnsi="仿宋" w:eastAsia="仿宋"/>
          <w:color w:val="000000"/>
          <w:sz w:val="24"/>
          <w:szCs w:val="24"/>
          <w:lang w:val="zh-TW"/>
        </w:rPr>
      </w:pPr>
      <w:r>
        <w:rPr>
          <w:rStyle w:val="20"/>
          <w:rFonts w:hint="eastAsia" w:ascii="仿宋" w:hAnsi="仿宋" w:eastAsia="仿宋"/>
          <w:color w:val="000000"/>
          <w:sz w:val="24"/>
          <w:szCs w:val="24"/>
          <w:lang w:val="zh-TW"/>
        </w:rPr>
        <w:t xml:space="preserve">                                    投标单位：盖章</w:t>
      </w:r>
    </w:p>
    <w:p>
      <w:pPr>
        <w:rPr>
          <w:rStyle w:val="20"/>
          <w:rFonts w:ascii="仿宋" w:hAnsi="仿宋" w:eastAsia="仿宋"/>
          <w:color w:val="000000"/>
          <w:sz w:val="24"/>
          <w:szCs w:val="24"/>
          <w:lang w:val="zh-TW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ascii="仿宋" w:hAnsi="仿宋" w:eastAsia="仿宋" w:cs="仿宋"/>
          <w:sz w:val="30"/>
          <w:szCs w:val="30"/>
        </w:rPr>
        <w:t>附件二</w:t>
      </w:r>
      <w:r>
        <w:rPr>
          <w:rFonts w:hint="eastAsia"/>
        </w:rPr>
        <w:t>：</w:t>
      </w:r>
    </w:p>
    <w:tbl>
      <w:tblPr>
        <w:tblStyle w:val="9"/>
        <w:tblW w:w="965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1457"/>
        <w:gridCol w:w="2678"/>
        <w:gridCol w:w="680"/>
        <w:gridCol w:w="1016"/>
        <w:gridCol w:w="31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5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</w:rPr>
              <w:t>装饰材料品牌及规格要求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材料名称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规格、技术要求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单价：元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品牌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石膏板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2440*1220*9.5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泰山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轻钢龙骨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防火涂料、防虫处理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m2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龙牌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乳胶漆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sz w:val="20"/>
                <w:szCs w:val="20"/>
                <w:highlight w:val="none"/>
              </w:rPr>
              <w:t>符合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《建筑用墙面涂料中有害物质限量》GB18582-2020要求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桶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立邦/嘉宝莉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灯类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sz w:val="20"/>
                <w:szCs w:val="20"/>
                <w:highlight w:val="none"/>
              </w:rPr>
              <w:t>需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3C安全认证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飞利普/欧普/雷士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套装木门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实木多层板基层烤漆门含门套、门锁，禁止使用密度板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0"/>
                <w:szCs w:val="20"/>
                <w:highlight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门锁品牌按物料书品牌或“名门”、“万嘉”</w:t>
            </w:r>
            <w:r>
              <w:rPr>
                <w:rFonts w:ascii="宋体" w:hAnsi="宋体" w:cs="宋体"/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开关、插座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西门子/飞利浦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腻子粉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KG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立邦/嘉宝莉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电线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sz w:val="20"/>
                <w:szCs w:val="20"/>
                <w:highlight w:val="none"/>
              </w:rPr>
              <w:t>照明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2.5平方，插座4平方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国标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网线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sz w:val="20"/>
                <w:szCs w:val="20"/>
                <w:highlight w:val="none"/>
              </w:rPr>
              <w:t>超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六</w:t>
            </w:r>
            <w:r>
              <w:rPr>
                <w:rFonts w:ascii="宋体" w:hAnsi="宋体" w:cs="宋体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安普/海康威视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配电箱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按图纸要求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德力西、正泰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地毯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绒高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5mm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rPr>
          <w:rFonts w:hint="eastAsia"/>
          <w:highlight w:val="none"/>
        </w:rPr>
      </w:pPr>
    </w:p>
    <w:p>
      <w:pPr>
        <w:rPr>
          <w:highlight w:val="none"/>
        </w:rPr>
      </w:pPr>
      <w:r>
        <w:rPr>
          <w:rFonts w:hint="eastAsia"/>
          <w:highlight w:val="none"/>
        </w:rPr>
        <w:t>优先选用物料书中指定品牌和型号，特殊情况或未列出的材料需经甲方和设计单位确认。</w:t>
      </w:r>
    </w:p>
    <w:p/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066" w:bottom="1440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52F77"/>
    <w:multiLevelType w:val="multilevel"/>
    <w:tmpl w:val="12D52F77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decimal"/>
      <w:lvlText w:val="%2."/>
      <w:lvlJc w:val="left"/>
      <w:pPr>
        <w:tabs>
          <w:tab w:val="left" w:pos="1724"/>
        </w:tabs>
        <w:ind w:left="1724" w:hanging="360"/>
      </w:pPr>
    </w:lvl>
    <w:lvl w:ilvl="2" w:tentative="0">
      <w:start w:val="1"/>
      <w:numFmt w:val="decimal"/>
      <w:lvlText w:val="%3."/>
      <w:lvlJc w:val="left"/>
      <w:pPr>
        <w:tabs>
          <w:tab w:val="left" w:pos="2444"/>
        </w:tabs>
        <w:ind w:left="2444" w:hanging="360"/>
      </w:pPr>
    </w:lvl>
    <w:lvl w:ilvl="3" w:tentative="0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</w:lvl>
    <w:lvl w:ilvl="4" w:tentative="0">
      <w:start w:val="1"/>
      <w:numFmt w:val="decimal"/>
      <w:lvlText w:val="%5."/>
      <w:lvlJc w:val="left"/>
      <w:pPr>
        <w:tabs>
          <w:tab w:val="left" w:pos="3884"/>
        </w:tabs>
        <w:ind w:left="3884" w:hanging="360"/>
      </w:pPr>
    </w:lvl>
    <w:lvl w:ilvl="5" w:tentative="0">
      <w:start w:val="1"/>
      <w:numFmt w:val="decimal"/>
      <w:lvlText w:val="%6."/>
      <w:lvlJc w:val="left"/>
      <w:pPr>
        <w:tabs>
          <w:tab w:val="left" w:pos="4604"/>
        </w:tabs>
        <w:ind w:left="4604" w:hanging="360"/>
      </w:pPr>
    </w:lvl>
    <w:lvl w:ilvl="6" w:tentative="0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</w:lvl>
    <w:lvl w:ilvl="7" w:tentative="0">
      <w:start w:val="1"/>
      <w:numFmt w:val="decimal"/>
      <w:lvlText w:val="%8."/>
      <w:lvlJc w:val="left"/>
      <w:pPr>
        <w:tabs>
          <w:tab w:val="left" w:pos="6044"/>
        </w:tabs>
        <w:ind w:left="6044" w:hanging="360"/>
      </w:pPr>
    </w:lvl>
    <w:lvl w:ilvl="8" w:tentative="0">
      <w:start w:val="1"/>
      <w:numFmt w:val="decimal"/>
      <w:lvlText w:val="%9."/>
      <w:lvlJc w:val="left"/>
      <w:pPr>
        <w:tabs>
          <w:tab w:val="left" w:pos="6764"/>
        </w:tabs>
        <w:ind w:left="6764" w:hanging="360"/>
      </w:pPr>
    </w:lvl>
  </w:abstractNum>
  <w:abstractNum w:abstractNumId="1">
    <w:nsid w:val="2BDC5BC4"/>
    <w:multiLevelType w:val="multilevel"/>
    <w:tmpl w:val="2BDC5BC4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8BF13"/>
    <w:multiLevelType w:val="singleLevel"/>
    <w:tmpl w:val="5158BF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OWJmMWY4YWUwYzY5YWE0YTY4NWMwM2ZhNmRiMmUifQ=="/>
  </w:docVars>
  <w:rsids>
    <w:rsidRoot w:val="00A76F3A"/>
    <w:rsid w:val="00125E8C"/>
    <w:rsid w:val="00271174"/>
    <w:rsid w:val="002B5209"/>
    <w:rsid w:val="002C1D94"/>
    <w:rsid w:val="003A241E"/>
    <w:rsid w:val="00424B5B"/>
    <w:rsid w:val="005A0F2F"/>
    <w:rsid w:val="007E3DCE"/>
    <w:rsid w:val="0096139F"/>
    <w:rsid w:val="00973056"/>
    <w:rsid w:val="00982E1F"/>
    <w:rsid w:val="00A54B88"/>
    <w:rsid w:val="00A76F3A"/>
    <w:rsid w:val="00AA0D84"/>
    <w:rsid w:val="00B91B20"/>
    <w:rsid w:val="00C129F0"/>
    <w:rsid w:val="00CB0BBA"/>
    <w:rsid w:val="00CB78CE"/>
    <w:rsid w:val="00CC2106"/>
    <w:rsid w:val="00D76991"/>
    <w:rsid w:val="00D81B27"/>
    <w:rsid w:val="00DD6B38"/>
    <w:rsid w:val="00EC1518"/>
    <w:rsid w:val="00F30D11"/>
    <w:rsid w:val="00F647B7"/>
    <w:rsid w:val="00FD44B8"/>
    <w:rsid w:val="00FF7E8D"/>
    <w:rsid w:val="012B5FB6"/>
    <w:rsid w:val="03983CB9"/>
    <w:rsid w:val="040E75B8"/>
    <w:rsid w:val="04B52962"/>
    <w:rsid w:val="055C7720"/>
    <w:rsid w:val="079C270F"/>
    <w:rsid w:val="0A1664A2"/>
    <w:rsid w:val="0B021242"/>
    <w:rsid w:val="0D7B4651"/>
    <w:rsid w:val="10842039"/>
    <w:rsid w:val="12845680"/>
    <w:rsid w:val="12D83766"/>
    <w:rsid w:val="1503250E"/>
    <w:rsid w:val="155165E8"/>
    <w:rsid w:val="176B2DAB"/>
    <w:rsid w:val="19DD4AE7"/>
    <w:rsid w:val="1B31503E"/>
    <w:rsid w:val="1D306ECF"/>
    <w:rsid w:val="20AB2570"/>
    <w:rsid w:val="222D3F6D"/>
    <w:rsid w:val="2391288E"/>
    <w:rsid w:val="240B5FA0"/>
    <w:rsid w:val="2617453A"/>
    <w:rsid w:val="27CC6029"/>
    <w:rsid w:val="2BF87AFA"/>
    <w:rsid w:val="32D40E29"/>
    <w:rsid w:val="334F7C47"/>
    <w:rsid w:val="33865263"/>
    <w:rsid w:val="35972B77"/>
    <w:rsid w:val="37097B97"/>
    <w:rsid w:val="3729101A"/>
    <w:rsid w:val="3777471A"/>
    <w:rsid w:val="39301843"/>
    <w:rsid w:val="3AA54601"/>
    <w:rsid w:val="3FB12407"/>
    <w:rsid w:val="40940537"/>
    <w:rsid w:val="4134795E"/>
    <w:rsid w:val="431B55F5"/>
    <w:rsid w:val="43E50996"/>
    <w:rsid w:val="446717BF"/>
    <w:rsid w:val="45376531"/>
    <w:rsid w:val="4714758F"/>
    <w:rsid w:val="484D7180"/>
    <w:rsid w:val="487563F0"/>
    <w:rsid w:val="49D03E4B"/>
    <w:rsid w:val="4AEE34AD"/>
    <w:rsid w:val="51541CCD"/>
    <w:rsid w:val="56942E41"/>
    <w:rsid w:val="58BE7D22"/>
    <w:rsid w:val="5A7B3B68"/>
    <w:rsid w:val="5BE50C38"/>
    <w:rsid w:val="5E7D71E8"/>
    <w:rsid w:val="601C41B9"/>
    <w:rsid w:val="62F37D50"/>
    <w:rsid w:val="632B5D8F"/>
    <w:rsid w:val="63BA0D5A"/>
    <w:rsid w:val="63FA73D1"/>
    <w:rsid w:val="642031E5"/>
    <w:rsid w:val="6810742B"/>
    <w:rsid w:val="695C5782"/>
    <w:rsid w:val="69BF1A4B"/>
    <w:rsid w:val="6AAE5247"/>
    <w:rsid w:val="6AB353A6"/>
    <w:rsid w:val="716A6009"/>
    <w:rsid w:val="71ED43A3"/>
    <w:rsid w:val="728361F1"/>
    <w:rsid w:val="73AE723F"/>
    <w:rsid w:val="752D316E"/>
    <w:rsid w:val="765738FB"/>
    <w:rsid w:val="7E2B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3296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1 Char1"/>
    <w:basedOn w:val="10"/>
    <w:link w:val="2"/>
    <w:qFormat/>
    <w:locked/>
    <w:uiPriority w:val="0"/>
    <w:rPr>
      <w:rFonts w:ascii="Times New Roman" w:hAnsi="Times New Roman" w:eastAsia="宋体" w:cs="Times New Roman"/>
      <w:kern w:val="44"/>
      <w:sz w:val="44"/>
      <w:szCs w:val="44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Body text_"/>
    <w:basedOn w:val="10"/>
    <w:link w:val="15"/>
    <w:qFormat/>
    <w:locked/>
    <w:uiPriority w:val="0"/>
    <w:rPr>
      <w:rFonts w:ascii="Arial Unicode MS" w:hAnsi="Arial Unicode MS" w:eastAsia="Arial Unicode MS" w:cs="Arial Unicode MS"/>
      <w:spacing w:val="60"/>
      <w:sz w:val="23"/>
      <w:szCs w:val="23"/>
      <w:shd w:val="clear" w:color="auto" w:fill="FFFFFF"/>
    </w:rPr>
  </w:style>
  <w:style w:type="paragraph" w:customStyle="1" w:styleId="15">
    <w:name w:val="Body text1"/>
    <w:basedOn w:val="1"/>
    <w:link w:val="14"/>
    <w:qFormat/>
    <w:uiPriority w:val="0"/>
    <w:pPr>
      <w:shd w:val="clear" w:color="auto" w:fill="FFFFFF"/>
      <w:spacing w:before="1260" w:line="443" w:lineRule="exact"/>
      <w:ind w:hanging="1360"/>
      <w:jc w:val="distribute"/>
    </w:pPr>
    <w:rPr>
      <w:rFonts w:ascii="Arial Unicode MS" w:hAnsi="Arial Unicode MS" w:eastAsia="Arial Unicode MS" w:cs="Arial Unicode MS"/>
      <w:spacing w:val="60"/>
      <w:sz w:val="23"/>
      <w:szCs w:val="23"/>
    </w:rPr>
  </w:style>
  <w:style w:type="paragraph" w:customStyle="1" w:styleId="16">
    <w:name w:val="精品标题4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</w:pPr>
    <w:rPr>
      <w:rFonts w:ascii="宋体" w:hAnsi="宋体" w:eastAsia="宋体" w:cs="Times New Roman"/>
      <w:kern w:val="28"/>
    </w:rPr>
  </w:style>
  <w:style w:type="paragraph" w:customStyle="1" w:styleId="17">
    <w:name w:val="精品表格"/>
    <w:basedOn w:val="1"/>
    <w:qFormat/>
    <w:uiPriority w:val="0"/>
    <w:pPr>
      <w:jc w:val="center"/>
    </w:pPr>
    <w:rPr>
      <w:rFonts w:ascii="宋体" w:hAnsi="宋体" w:cs="宋体"/>
      <w:color w:val="FF0000"/>
      <w:sz w:val="24"/>
      <w:szCs w:val="20"/>
    </w:rPr>
  </w:style>
  <w:style w:type="paragraph" w:customStyle="1" w:styleId="18">
    <w:name w:val="精品表头"/>
    <w:basedOn w:val="17"/>
    <w:qFormat/>
    <w:uiPriority w:val="0"/>
    <w:rPr>
      <w:b/>
      <w:bCs/>
    </w:rPr>
  </w:style>
  <w:style w:type="paragraph" w:customStyle="1" w:styleId="19">
    <w:name w:val="施组正文"/>
    <w:basedOn w:val="1"/>
    <w:qFormat/>
    <w:uiPriority w:val="0"/>
    <w:pPr>
      <w:spacing w:line="360" w:lineRule="auto"/>
      <w:ind w:firstLine="560" w:firstLineChars="200"/>
    </w:pPr>
    <w:rPr>
      <w:rFonts w:ascii="宋体" w:hAnsi="宋体" w:cs="宋体"/>
      <w:sz w:val="28"/>
      <w:szCs w:val="28"/>
    </w:rPr>
  </w:style>
  <w:style w:type="character" w:customStyle="1" w:styleId="20">
    <w:name w:val="Body text + Spacing 0 pt"/>
    <w:basedOn w:val="14"/>
    <w:qFormat/>
    <w:uiPriority w:val="0"/>
    <w:rPr>
      <w:spacing w:val="0"/>
    </w:rPr>
  </w:style>
  <w:style w:type="character" w:customStyle="1" w:styleId="21">
    <w:name w:val="精品标题4 Char Char"/>
    <w:basedOn w:val="22"/>
    <w:qFormat/>
    <w:uiPriority w:val="0"/>
  </w:style>
  <w:style w:type="character" w:customStyle="1" w:styleId="22">
    <w:name w:val="标题 4 Char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Body text + SimSun263"/>
    <w:basedOn w:val="14"/>
    <w:qFormat/>
    <w:uiPriority w:val="0"/>
    <w:rPr>
      <w:rFonts w:ascii="宋体" w:hAnsi="宋体" w:cs="宋体"/>
      <w:spacing w:val="-20"/>
    </w:rPr>
  </w:style>
  <w:style w:type="paragraph" w:customStyle="1" w:styleId="25">
    <w:name w:val="标准正文"/>
    <w:basedOn w:val="1"/>
    <w:qFormat/>
    <w:uiPriority w:val="0"/>
    <w:pPr>
      <w:spacing w:line="360" w:lineRule="auto"/>
      <w:ind w:firstLine="560" w:firstLineChars="200"/>
    </w:pPr>
    <w:rPr>
      <w:rFonts w:ascii="宋体" w:hAnsi="宋体"/>
      <w:sz w:val="28"/>
      <w:szCs w:val="20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7">
    <w:name w:val="页眉 Char"/>
    <w:basedOn w:val="10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font1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121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31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paragraph" w:customStyle="1" w:styleId="3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2793</Words>
  <Characters>2886</Characters>
  <Lines>36</Lines>
  <Paragraphs>10</Paragraphs>
  <TotalTime>13</TotalTime>
  <ScaleCrop>false</ScaleCrop>
  <LinksUpToDate>false</LinksUpToDate>
  <CharactersWithSpaces>2942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2018-11-09T01:02:00Z</dcterms:created>
  <dc:creator>user</dc:creator>
  <cp:lastModifiedBy>暖归</cp:lastModifiedBy>
  <dcterms:modified xsi:type="dcterms:W3CDTF">2024-01-09T08:28:45Z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584AD88367994907B86A000B10B983C6</vt:lpwstr>
  </property>
</Properties>
</file>